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63" w:rsidRPr="00762763" w:rsidRDefault="00762763" w:rsidP="00762763">
      <w:pPr>
        <w:jc w:val="center"/>
        <w:rPr>
          <w:sz w:val="28"/>
          <w:szCs w:val="28"/>
        </w:rPr>
      </w:pPr>
      <w:r w:rsidRPr="00762763">
        <w:rPr>
          <w:sz w:val="28"/>
          <w:szCs w:val="28"/>
        </w:rPr>
        <w:t>PLAN DZIAŁAŃ SZKOŁY PROMUJĄCEJ ZDROWIE/PRZE</w:t>
      </w:r>
      <w:r w:rsidR="009C463D">
        <w:rPr>
          <w:sz w:val="28"/>
          <w:szCs w:val="28"/>
        </w:rPr>
        <w:t>DSZKOLA PROMUJĄCEGO ZDROWIE 2019/2020</w:t>
      </w:r>
    </w:p>
    <w:p w:rsidR="00762763" w:rsidRPr="00762763" w:rsidRDefault="00762763">
      <w:pPr>
        <w:rPr>
          <w:b/>
        </w:rPr>
      </w:pPr>
      <w:r w:rsidRPr="00762763">
        <w:rPr>
          <w:b/>
        </w:rPr>
        <w:t xml:space="preserve">A. Część wstępna planowania </w:t>
      </w:r>
    </w:p>
    <w:p w:rsidR="00233000" w:rsidRDefault="00762763" w:rsidP="00233000">
      <w:pPr>
        <w:spacing w:after="0"/>
      </w:pPr>
      <w:r w:rsidRPr="00762763">
        <w:rPr>
          <w:b/>
        </w:rPr>
        <w:t>1. Diagnoza potrzeb</w:t>
      </w:r>
      <w:r w:rsidRPr="00762763">
        <w:t xml:space="preserve"> (informacja, w jaki sposób przeprowadzono diagnozę i jakie w jej wyniku wyłoniono problemy): </w:t>
      </w:r>
    </w:p>
    <w:p w:rsidR="00762763" w:rsidRDefault="00762763" w:rsidP="009B2BB7">
      <w:pPr>
        <w:spacing w:after="0"/>
        <w:jc w:val="both"/>
      </w:pPr>
      <w:r w:rsidRPr="00762763">
        <w:t xml:space="preserve">Zgodnie z wytycznymi programu Szkoły Promującej Zdrowie została przeprowadzona diagnoza potrzeb naszej placówki. </w:t>
      </w:r>
      <w:r w:rsidR="00206940" w:rsidRPr="00206940">
        <w:t xml:space="preserve">Wśród czynników środowiskowych </w:t>
      </w:r>
      <w:r w:rsidR="00206940">
        <w:t xml:space="preserve">mający </w:t>
      </w:r>
      <w:r w:rsidR="00206940" w:rsidRPr="00206940">
        <w:t xml:space="preserve">największy wpływ na </w:t>
      </w:r>
      <w:r w:rsidR="00206940">
        <w:t xml:space="preserve">rozwój dziecka i jego prawidłowe relacje </w:t>
      </w:r>
      <w:r w:rsidR="00206940" w:rsidRPr="00206940">
        <w:t>ma rodzina. Drugim czynnikiem środowiskowym, wpływającym na rozwój dziecka jest szkoła. Szkoła, poprzez różnorodne oddziaływania, kształtuje osobowość dziecka</w:t>
      </w:r>
      <w:r w:rsidR="00206940">
        <w:t xml:space="preserve">. </w:t>
      </w:r>
      <w:r w:rsidR="00206940" w:rsidRPr="00206940">
        <w:t>Trzecim czynnikiem środowiskowym wpływającym na rozwój dziecka jest grupa rówieśnicza.</w:t>
      </w:r>
      <w:r w:rsidR="00206940">
        <w:t xml:space="preserve"> Dlatego też realizując </w:t>
      </w:r>
      <w:proofErr w:type="spellStart"/>
      <w:r w:rsidR="00206940">
        <w:t>tutoring</w:t>
      </w:r>
      <w:proofErr w:type="spellEnd"/>
      <w:r w:rsidR="00206940">
        <w:t xml:space="preserve"> rodzinny w przedszkolu i klasach I – III uzyskaliśmy informację zwrotną jak ważne dla prawidłowego rozwoju dziecka jest współdziałanie tych trzech podmiotów. Przeprowadzone rozmowy z rodzicami uczniów klas starszych potwierdziły nasze wnioski również w tych klasach.  </w:t>
      </w:r>
      <w:r w:rsidR="00D33477">
        <w:t>Ewaluacja Programu Wychowawczo – Profilaktycznego z poprzedniego roku szkolnego wskazała na właściwy kierunek prac podjętych przez szkołę.</w:t>
      </w:r>
      <w:r w:rsidR="00895553">
        <w:t xml:space="preserve"> Część ankietowanych zwróciła uwagę na poszerzenie zakresu treści dotyczących relacji międzyrówieśniczych.</w:t>
      </w:r>
      <w:bookmarkStart w:id="0" w:name="_GoBack"/>
      <w:bookmarkEnd w:id="0"/>
    </w:p>
    <w:p w:rsidR="00233000" w:rsidRDefault="00233000" w:rsidP="00233000">
      <w:pPr>
        <w:spacing w:after="0"/>
      </w:pPr>
    </w:p>
    <w:p w:rsidR="00762763" w:rsidRDefault="00762763">
      <w:r w:rsidRPr="00762763">
        <w:rPr>
          <w:b/>
        </w:rPr>
        <w:t>2. Wybór problemu priorytetowego</w:t>
      </w:r>
      <w:r w:rsidRPr="00762763">
        <w:t xml:space="preserve"> (informacja, który z wyłonionych w ramach diagnozy problemów jest priorytetowy): </w:t>
      </w:r>
      <w:r w:rsidR="00823A26" w:rsidRPr="00823A26">
        <w:rPr>
          <w:b/>
        </w:rPr>
        <w:t xml:space="preserve">Jak </w:t>
      </w:r>
      <w:r w:rsidR="00E324AF">
        <w:rPr>
          <w:b/>
        </w:rPr>
        <w:t>wspierać</w:t>
      </w:r>
      <w:r w:rsidR="00823A26" w:rsidRPr="00823A26">
        <w:rPr>
          <w:b/>
        </w:rPr>
        <w:t xml:space="preserve"> </w:t>
      </w:r>
      <w:r w:rsidR="008C12C5">
        <w:rPr>
          <w:b/>
        </w:rPr>
        <w:t xml:space="preserve">wszechstronny </w:t>
      </w:r>
      <w:r w:rsidR="00823A26" w:rsidRPr="00823A26">
        <w:rPr>
          <w:b/>
        </w:rPr>
        <w:t xml:space="preserve">rozwój uczniów / przedszkolaków oraz </w:t>
      </w:r>
      <w:r w:rsidR="00E324AF">
        <w:rPr>
          <w:b/>
        </w:rPr>
        <w:t xml:space="preserve">zadbać o </w:t>
      </w:r>
      <w:r w:rsidR="00823A26" w:rsidRPr="00823A26">
        <w:rPr>
          <w:b/>
        </w:rPr>
        <w:t>właściwe relacje</w:t>
      </w:r>
      <w:r w:rsidR="00E324AF">
        <w:rPr>
          <w:b/>
        </w:rPr>
        <w:t xml:space="preserve"> między nimi</w:t>
      </w:r>
      <w:r w:rsidR="00823A26" w:rsidRPr="00823A26">
        <w:rPr>
          <w:b/>
        </w:rPr>
        <w:t>?</w:t>
      </w:r>
    </w:p>
    <w:p w:rsidR="00762763" w:rsidRDefault="00762763" w:rsidP="00D53405">
      <w:pPr>
        <w:jc w:val="both"/>
      </w:pPr>
      <w:r w:rsidRPr="00762763">
        <w:rPr>
          <w:b/>
        </w:rPr>
        <w:t>3. Uzasadnienie wyboru problemu priorytetowego</w:t>
      </w:r>
      <w:r w:rsidRPr="00762763">
        <w:t xml:space="preserve"> (dlaczego wybrano dany problem): </w:t>
      </w:r>
      <w:r w:rsidR="00437D6F" w:rsidRPr="00437D6F">
        <w:t xml:space="preserve">Wspieranie wszechstronnego rozwoju i budowanie właściwych relacji między dziećmi to proces długotrwały i wymaga zaangażowania nauczycieli, rodziców i </w:t>
      </w:r>
      <w:r w:rsidR="00437D6F">
        <w:t>samych uczniów</w:t>
      </w:r>
      <w:r w:rsidR="00437D6F" w:rsidRPr="00437D6F">
        <w:t>.</w:t>
      </w:r>
      <w:r w:rsidRPr="00762763">
        <w:t xml:space="preserve"> </w:t>
      </w:r>
      <w:r w:rsidR="00437D6F">
        <w:t xml:space="preserve">Jest to </w:t>
      </w:r>
      <w:r w:rsidR="00437D6F" w:rsidRPr="00437D6F">
        <w:t>kluczowym elementem edukacji, który przyczynia się do ich sukcesu i dobrostanu zarówno w dzieciństwie, jak i w dorosłym życiu.</w:t>
      </w:r>
      <w:r w:rsidR="00437D6F">
        <w:t xml:space="preserve"> </w:t>
      </w:r>
    </w:p>
    <w:p w:rsidR="00762763" w:rsidRDefault="00762763" w:rsidP="00D33477">
      <w:pPr>
        <w:jc w:val="both"/>
      </w:pPr>
      <w:r w:rsidRPr="00762763">
        <w:t xml:space="preserve">4. </w:t>
      </w:r>
      <w:r w:rsidRPr="00762763">
        <w:rPr>
          <w:b/>
        </w:rPr>
        <w:t>Przyczyny istnienia problemu priorytetowego</w:t>
      </w:r>
      <w:r w:rsidRPr="00762763">
        <w:t xml:space="preserve"> (krótki opis): </w:t>
      </w:r>
      <w:r w:rsidR="00D33477" w:rsidRPr="00D33477">
        <w:t>Współczesny tryb życia często wiąże się z brakiem czasu i uwagi dla dzieci. Dla niektórych rodzin, praca i inne zobowiązania mogą ograniczać ilość czasu, którą rodzice i opiekunowie mogą poświęcić na aktywności wspierające rozwój i relacje dzieci.</w:t>
      </w:r>
      <w:r w:rsidR="00D33477">
        <w:t xml:space="preserve"> </w:t>
      </w:r>
      <w:r w:rsidR="00D33477" w:rsidRPr="00D33477">
        <w:t>Dbanie o wszechstronny rozwój i zdrowe relacje dzieci wymaga świadomości, zaangażowania i odpowiednich zasobów.</w:t>
      </w:r>
      <w:r w:rsidR="00D33477">
        <w:t xml:space="preserve"> Dodatkowo proces ten został zaburzony przez pandemię i izolację.</w:t>
      </w:r>
    </w:p>
    <w:p w:rsidR="00762763" w:rsidRDefault="00762763" w:rsidP="008C12C5">
      <w:pPr>
        <w:jc w:val="both"/>
      </w:pPr>
      <w:r w:rsidRPr="00762763">
        <w:t xml:space="preserve">5. </w:t>
      </w:r>
      <w:r w:rsidRPr="00762763">
        <w:rPr>
          <w:b/>
        </w:rPr>
        <w:t>Rozwiązania dla usunięcia problemu priorytetowego</w:t>
      </w:r>
      <w:r w:rsidRPr="00762763">
        <w:t xml:space="preserve"> (krótki opis): </w:t>
      </w:r>
      <w:r w:rsidR="008C12C5" w:rsidRPr="008C12C5">
        <w:t>Wspieranie wszechstronnego rozwoju i budowanie właściwych relacji między dziećmi to proces długotrwały i wymaga zaangażowania nauczycieli, rodziców i opiekunów. Ważne jest, aby stawiać na rozwijanie umiejętności społecznych, emocjonalnych i intelektualnych dzieci, tworzyć pozytywną atmosferę w przedszkolu lub szkole oraz promować wartości, które sprzyjają wzajemnemu szacunkowi i zrozumieniu.</w:t>
      </w:r>
      <w:r w:rsidR="008C12C5">
        <w:t xml:space="preserve"> </w:t>
      </w:r>
      <w:r w:rsidRPr="00762763">
        <w:t xml:space="preserve">Zaplanowano wiele działań wspierających uczniów, nauczycieli, rodziców oraz pracowników niepedagogicznych. Za zadanie kluczowe wszystkich nauczycieli, a w szczególności wychowawców, uznano wspieranie podopiecznych i ich rodziców. Położono nacisk na </w:t>
      </w:r>
      <w:r w:rsidR="000B108C">
        <w:t>rozwój umiejętności społecznych i komunikacyjnych, promowanie aktywności fizycznej, wspieranie rozwoju intelektualnego oraz właściwą atmosferę.</w:t>
      </w:r>
    </w:p>
    <w:p w:rsidR="00762763" w:rsidRPr="00762763" w:rsidRDefault="00762763">
      <w:pPr>
        <w:rPr>
          <w:b/>
        </w:rPr>
      </w:pPr>
      <w:r w:rsidRPr="00762763">
        <w:rPr>
          <w:b/>
        </w:rPr>
        <w:t xml:space="preserve">B. PLAN DZIAŁAŃ w odniesieniu do problemu priorytetowego </w:t>
      </w:r>
    </w:p>
    <w:p w:rsidR="00762763" w:rsidRPr="00233000" w:rsidRDefault="00762763" w:rsidP="00823A26">
      <w:pPr>
        <w:jc w:val="both"/>
      </w:pPr>
      <w:r w:rsidRPr="00762763">
        <w:rPr>
          <w:b/>
        </w:rPr>
        <w:t>1. Podanie celu działań:</w:t>
      </w:r>
      <w:r w:rsidRPr="00762763">
        <w:t xml:space="preserve"> </w:t>
      </w:r>
      <w:r w:rsidR="00823A26" w:rsidRPr="00823A26">
        <w:t xml:space="preserve">Motywować uczniów do </w:t>
      </w:r>
      <w:r w:rsidR="008C12C5">
        <w:t xml:space="preserve">wszechstronnego rozwoju, w tym rozwoju </w:t>
      </w:r>
      <w:r w:rsidR="000B108C">
        <w:t xml:space="preserve">społecznego i </w:t>
      </w:r>
      <w:r w:rsidR="008C12C5">
        <w:t xml:space="preserve">fizycznego, </w:t>
      </w:r>
      <w:r w:rsidR="00823A26" w:rsidRPr="00823A26">
        <w:t>udziału w zawodach sportowych</w:t>
      </w:r>
      <w:r w:rsidR="00D72515">
        <w:t xml:space="preserve"> oraz do podejmowania systematycznie aktywności fizycznej</w:t>
      </w:r>
      <w:r w:rsidR="00823A26" w:rsidRPr="00823A26">
        <w:t xml:space="preserve">. Wprowadzać podstawy dyscyplin sportu (Koszykówki, Siatkówki, Piłki Nożnej i </w:t>
      </w:r>
      <w:r w:rsidR="00823A26" w:rsidRPr="00823A26">
        <w:lastRenderedPageBreak/>
        <w:t xml:space="preserve">Piłki Ręcznej) już od przedszkola. </w:t>
      </w:r>
      <w:r w:rsidR="008C12C5">
        <w:t xml:space="preserve">Realizować zadania przy współpracy środowiska rodzinnego. </w:t>
      </w:r>
      <w:r w:rsidR="000B108C">
        <w:t>Regularnie komunikować</w:t>
      </w:r>
      <w:r w:rsidR="000B108C" w:rsidRPr="000B108C">
        <w:t xml:space="preserve"> się z rodzicami, aby wspólnie pracować nad rozwojem dziecka.</w:t>
      </w:r>
      <w:r w:rsidR="000B108C">
        <w:t xml:space="preserve"> </w:t>
      </w:r>
      <w:r w:rsidR="00823A26" w:rsidRPr="00823A26">
        <w:t xml:space="preserve">Zaangażować Samorząd Uczniowski do </w:t>
      </w:r>
      <w:r w:rsidR="000B108C">
        <w:t>podejmowania inicjatyw w celu kształtowania</w:t>
      </w:r>
      <w:r w:rsidR="00823A26" w:rsidRPr="00823A26">
        <w:t xml:space="preserve"> prawidłowych relacji między uczniami</w:t>
      </w:r>
      <w:r w:rsidR="000B108C">
        <w:t>, również poprzez działania integracyjne</w:t>
      </w:r>
      <w:r w:rsidR="00823A26" w:rsidRPr="00823A26">
        <w:t>.</w:t>
      </w:r>
      <w:r w:rsidRPr="00233000">
        <w:t xml:space="preserve"> </w:t>
      </w:r>
    </w:p>
    <w:p w:rsidR="00762763" w:rsidRDefault="00762763" w:rsidP="00823A26">
      <w:pPr>
        <w:jc w:val="both"/>
      </w:pPr>
      <w:r w:rsidRPr="00762763">
        <w:rPr>
          <w:b/>
        </w:rPr>
        <w:t xml:space="preserve">2. Określenie kryterium sukcesu: </w:t>
      </w:r>
      <w:r w:rsidR="00823A26" w:rsidRPr="00823A26">
        <w:t>Po roku działań 70% uczniów twierdzi, że odniosło sukcesy sportowe, rozwinęło swoje umiejętności w zakresie gier zespołowych i indywidualnych. 50% rodziców dzieci przedszkolnych zauważa zainteresowanie przedszkolaków piłką oraz ogólny rozwój zdolności motorycznych. Systematyczne działania Samorządu Uczniowskiego w ramach „Konkursu na najaktywniejszą klasę” przyczyniły się do poprawy relacji uczniów, w tym podczas zdalnego nauczania.</w:t>
      </w:r>
    </w:p>
    <w:p w:rsidR="00762763" w:rsidRPr="00762763" w:rsidRDefault="00762763" w:rsidP="00762763">
      <w:pPr>
        <w:spacing w:after="0"/>
        <w:rPr>
          <w:b/>
        </w:rPr>
      </w:pPr>
      <w:r w:rsidRPr="00762763">
        <w:rPr>
          <w:b/>
        </w:rPr>
        <w:t xml:space="preserve">3. Sposób sprawdzenia czy osiągnięto cel: </w:t>
      </w:r>
    </w:p>
    <w:p w:rsidR="00762763" w:rsidRDefault="00823A26" w:rsidP="00823A26">
      <w:pPr>
        <w:jc w:val="both"/>
      </w:pPr>
      <w:r w:rsidRPr="00823A26">
        <w:t xml:space="preserve">Rozmowy z uczniami, nauczycielami, którzy byli zaangażowani w różne przedsięwzięcia, rozmowy z rodzicami dzieci przedszkolnych, obserwacje </w:t>
      </w:r>
      <w:proofErr w:type="spellStart"/>
      <w:r w:rsidRPr="00823A26">
        <w:t>zachowań</w:t>
      </w:r>
      <w:proofErr w:type="spellEnd"/>
      <w:r w:rsidRPr="00823A26">
        <w:t xml:space="preserve"> uczniów, zapisy w dziennikach lekcyjnych pozwoliły dojść do wniosku, że wszystkie podjęte działania przyczyniły się do osiągnięcia kryterium sukcesu zgodnie z założeniami.</w:t>
      </w:r>
    </w:p>
    <w:p w:rsidR="009302A3" w:rsidRDefault="00762763">
      <w:pPr>
        <w:rPr>
          <w:b/>
        </w:rPr>
      </w:pPr>
      <w:r w:rsidRPr="00762763">
        <w:rPr>
          <w:b/>
        </w:rPr>
        <w:t>4.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753"/>
        <w:gridCol w:w="1827"/>
        <w:gridCol w:w="1890"/>
      </w:tblGrid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L.p.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Działania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Termin realizacji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Osoba odpowiedzialna</w:t>
            </w:r>
          </w:p>
        </w:tc>
      </w:tr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1.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Kontynuowanie szkolnych zasad dotyczących zakazu spożywania coli , chipsów, słodyczy, napojów energetycznych, zajęcia profilaktyczne o dopalaczach oraz możliwości napicia się wody.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Nauczyciele, rodzice</w:t>
            </w:r>
          </w:p>
        </w:tc>
      </w:tr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>
              <w:t>2.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Prowadzenie lekcji we wszystkich klasach opierających się o cnoty i wartości zawarte w programie wychowawczo- profilaktycznym szkoły.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>
              <w:t>Nauczyciele</w:t>
            </w:r>
            <w:r>
              <w:br/>
              <w:t>wychowawcy</w:t>
            </w:r>
          </w:p>
        </w:tc>
      </w:tr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3.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Udział w imprezach szkolnych: Dzień Chłopaka,  Dzień Papieski, Dzień Komisji Edukacji Narodowej i Pasowanie na Pierwszoklasistę, Andrzejki, Spotkanie z Mikołajem, Jasełka, Dzień Babci i Dziadka, zabawa karnawałowo- walentynkowa, jako pogłębianie wrażliwości emocjonalno- społecznej, kulturowej oraz tradycji.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>
              <w:t>Zgodnie z kalendarzem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 xml:space="preserve">wychowawcy klas </w:t>
            </w:r>
            <w:r>
              <w:br/>
              <w:t>Samorząd Uczniowski</w:t>
            </w:r>
          </w:p>
        </w:tc>
      </w:tr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4.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Prowadzenie podstrony dotyczącej działań Szkoły Promującej Zdrowie.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Ł. Goraj</w:t>
            </w:r>
          </w:p>
          <w:p w:rsidR="00823A26" w:rsidRPr="00823A26" w:rsidRDefault="00823A26" w:rsidP="00823A26">
            <w:r w:rsidRPr="00823A26">
              <w:t xml:space="preserve">J.  </w:t>
            </w:r>
            <w:proofErr w:type="spellStart"/>
            <w:r w:rsidRPr="00823A26">
              <w:t>Mamica</w:t>
            </w:r>
            <w:proofErr w:type="spellEnd"/>
          </w:p>
        </w:tc>
      </w:tr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5.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Udział uczniów  w zawodach sportowych.</w:t>
            </w:r>
          </w:p>
          <w:p w:rsidR="00823A26" w:rsidRPr="00823A26" w:rsidRDefault="006E620E" w:rsidP="00823A26">
            <w:r w:rsidRPr="006E620E">
              <w:t>Propagowanie aktywnego sposobu spędzania czasu: spacery, wycieczki, gry, zabawy, zawody, SKS.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6E620E">
            <w:r w:rsidRPr="00823A26">
              <w:t xml:space="preserve">K. Ślusarek, wychowawcy </w:t>
            </w:r>
          </w:p>
        </w:tc>
      </w:tr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6.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 xml:space="preserve">Udział uczniów w dodatkowych, sportowych zajęciach pozalekcyjnych. 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K. Ślusarek</w:t>
            </w:r>
          </w:p>
        </w:tc>
      </w:tr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lastRenderedPageBreak/>
              <w:t>7.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Utrwalenie i przestrzeganie przepisów BHP podczas zajęć w szkole/ przedszkolu i poza szkołą/ przedszkolem.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Wszyscy nauczyciele</w:t>
            </w:r>
          </w:p>
        </w:tc>
      </w:tr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8.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Kontynuacja zadania „Lekki tornister”.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Cały rok</w:t>
            </w:r>
            <w:r w:rsidRPr="00823A26">
              <w:tab/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Wszyscy nauczyciele</w:t>
            </w:r>
          </w:p>
        </w:tc>
      </w:tr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9.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Dzień zdrowego śniadania. Własnoręczne przygotowanie zdrowych kanapek.  Śniadanie wielkanocne.</w:t>
            </w:r>
            <w:r>
              <w:t xml:space="preserve"> 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W ciągu roku</w:t>
            </w:r>
          </w:p>
          <w:p w:rsidR="00823A26" w:rsidRPr="00823A26" w:rsidRDefault="00823A26" w:rsidP="00823A26">
            <w:r w:rsidRPr="00823A26">
              <w:t>kwiecień</w:t>
            </w:r>
          </w:p>
          <w:p w:rsidR="00823A26" w:rsidRPr="00823A26" w:rsidRDefault="00823A26" w:rsidP="00823A26"/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Wszyscy nauczyciele</w:t>
            </w:r>
          </w:p>
        </w:tc>
      </w:tr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10.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6E620E">
            <w:r w:rsidRPr="00823A26">
              <w:t>Udział w programach i akcjach: Ogólnopolska akcja Sprzątania Świata, „Owoce w szkole”, „Mleko w szkole”, „Nie pal przy mnie. Proszę”, „Znajdź właściwe rozwiązanie”, ”Czyste powietrze wokół nas” „Trzymaj Formę</w:t>
            </w:r>
            <w:r w:rsidR="006E620E">
              <w:t>”</w:t>
            </w:r>
            <w:r w:rsidR="002140B6">
              <w:t>, „Mistrz pierwszej pomocy”</w:t>
            </w:r>
            <w:r w:rsidR="006E620E">
              <w:t xml:space="preserve">. </w:t>
            </w:r>
            <w:r w:rsidR="006E620E" w:rsidRPr="006E620E">
              <w:t>Udział uczniów klas VII-VIII w prelekcji w ramach kampanii „Bądź trzeźwy na drodze”.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Nauczyciele wg deklaracji przystąpienia do akcji</w:t>
            </w:r>
          </w:p>
        </w:tc>
      </w:tr>
      <w:tr w:rsidR="00823A26" w:rsidRPr="00823A26" w:rsidTr="006E620E"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11.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6E620E">
            <w:pPr>
              <w:spacing w:after="0"/>
            </w:pPr>
            <w:r w:rsidRPr="00823A26">
              <w:t>Edukacja zdrowotna na lekcjach wychowawczych, przyrody, wychowania fizycznego i biologii, obejmująca tematy: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>- bezpieczeństwo w aspekcie fizycznym i psychicznym,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>- higiena osobista (np. lekcje zdrowego uśmiechu, fluoryzacja)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>- alternatywne sposoby spędzania wolnego czasu, rola aktywności fizycznej w zachowaniu zdrowia;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>- higiena otoczenia oraz zapobieganie infekcji i kształtowania właściwego stosunku do choroby, informacje dla rodziców „profilaktyka zdrowia” (plakaty w przedszkolu na temat zdrowia i zapobiegania chorobom dla rodziców);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 xml:space="preserve">- higiena psychiczna w tym sposoby radzenia sobie ze stresem, pobudzanie własnej wartości; 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>- rozmowy na zebraniach dotyczące tematu, że nadmiar zajęć dodatkowych dla dzieci w małym wieku nie jest często dobrym pomysłem, dzieci są przemęczone już w przedszkolu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 xml:space="preserve">- higiena i kultura żywienia, w tym również znajomość etykiet produktów spożywczych, 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>- higiena snu i wypoczynku,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>- codzienne wyjścia na świeże powietrze (przedszkolaki),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>- w miarę potrzeby stosowanie przerw śródlekcyjnych,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 xml:space="preserve">- piramida żywienia, 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lastRenderedPageBreak/>
              <w:t xml:space="preserve">- wpływ aktywności fizycznej na zmiany w budowie ciała w okresie dojrzewania, 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>- przyczyny i skutki otyłości oraz nieuzasadnionego odchudzania się i używania sterydów w celu zwiększenia masy mięśni</w:t>
            </w:r>
          </w:p>
          <w:p w:rsidR="00823A26" w:rsidRPr="00823A26" w:rsidRDefault="00823A26" w:rsidP="006E620E">
            <w:pPr>
              <w:spacing w:after="0"/>
            </w:pPr>
            <w:r w:rsidRPr="00823A26">
              <w:t>-zasady zdrowego odżywiania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lastRenderedPageBreak/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 xml:space="preserve">Wychowawcy,  nauczyciele, </w:t>
            </w:r>
          </w:p>
          <w:p w:rsidR="00823A26" w:rsidRPr="00823A26" w:rsidRDefault="00823A26" w:rsidP="00823A26">
            <w:r w:rsidRPr="00823A26">
              <w:t xml:space="preserve">Ratownik Medyczny, Higienistka szkolna, </w:t>
            </w:r>
          </w:p>
        </w:tc>
      </w:tr>
      <w:tr w:rsidR="00823A26" w:rsidRPr="00823A26" w:rsidTr="006E620E">
        <w:trPr>
          <w:trHeight w:val="524"/>
        </w:trPr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lastRenderedPageBreak/>
              <w:t>12.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6E620E">
            <w:r w:rsidRPr="00823A26">
              <w:t>Profilaktyka i korekcja wad postawy u dzieci</w:t>
            </w:r>
            <w:r w:rsidR="006E620E" w:rsidRPr="006E620E">
              <w:t xml:space="preserve"> </w:t>
            </w:r>
            <w:r w:rsidR="006E620E">
              <w:t xml:space="preserve">oraz umożliwienie przeprowadzenia odpłatnego </w:t>
            </w:r>
            <w:r w:rsidR="006E620E" w:rsidRPr="006E620E">
              <w:t>komputerow</w:t>
            </w:r>
            <w:r w:rsidR="006E620E">
              <w:t>ego badania postawy dla chętnych</w:t>
            </w:r>
            <w:r w:rsidRPr="00823A26">
              <w:t>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K. Ślusarek, wszyscy nauczycie</w:t>
            </w:r>
          </w:p>
        </w:tc>
      </w:tr>
      <w:tr w:rsidR="00823A26" w:rsidRPr="00823A26" w:rsidTr="006E620E">
        <w:trPr>
          <w:trHeight w:val="318"/>
        </w:trPr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13.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Spotkania i prelekcje z dietetykiem o zdrowym stylu życia.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W ciągu roku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Dietetyk, specjalista, rodzic p. Palka, P. Dudek</w:t>
            </w:r>
          </w:p>
        </w:tc>
      </w:tr>
      <w:tr w:rsidR="00823A26" w:rsidRPr="00823A26" w:rsidTr="006E620E">
        <w:trPr>
          <w:trHeight w:val="249"/>
        </w:trPr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14.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6E620E" w:rsidP="00D53405">
            <w:r w:rsidRPr="006E620E">
              <w:t>Pogłębianie relacji koleżeńskich oraz tradycji kulturowych poprzez udział w akcjach Samorządu Uczniowski</w:t>
            </w:r>
            <w:r w:rsidR="00D53405">
              <w:t>ego</w:t>
            </w:r>
            <w:r w:rsidRPr="006E620E">
              <w:t xml:space="preserve">, tj. Światowy Dzień Tabliczki Mnożenia, Światowy Dzień Uśmiechu, Światowy Dzień </w:t>
            </w:r>
            <w:proofErr w:type="spellStart"/>
            <w:r w:rsidRPr="006E620E">
              <w:t>Origami</w:t>
            </w:r>
            <w:proofErr w:type="spellEnd"/>
            <w:r w:rsidRPr="006E620E">
              <w:t>, Dzień Postaci z Bajek, Międzynarodowy Dzień Kubusia Puchatka, Walentynki, czy Dzień Kobiet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6E620E" w:rsidP="00823A26">
            <w:r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6E620E" w:rsidP="00823A26">
            <w:r>
              <w:t>Wychowawcy, nauczyciele, Samorząd Uczniowski</w:t>
            </w:r>
          </w:p>
        </w:tc>
      </w:tr>
      <w:tr w:rsidR="00823A26" w:rsidRPr="00823A26" w:rsidTr="006E620E">
        <w:trPr>
          <w:trHeight w:val="249"/>
        </w:trPr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15.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Udział w Szóstej Wiośnie Kulturalnej.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Marzec/Kwiecień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 xml:space="preserve">T. </w:t>
            </w:r>
            <w:proofErr w:type="spellStart"/>
            <w:r w:rsidRPr="00823A26">
              <w:t>Flakowska</w:t>
            </w:r>
            <w:proofErr w:type="spellEnd"/>
            <w:r w:rsidRPr="00823A26">
              <w:t>, wychowawcy</w:t>
            </w:r>
          </w:p>
        </w:tc>
      </w:tr>
      <w:tr w:rsidR="00823A26" w:rsidRPr="00823A26" w:rsidTr="006E620E">
        <w:trPr>
          <w:trHeight w:val="249"/>
        </w:trPr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16.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Udział w akcjach PCK, m.in. Gorączka złota, loterie fantowe na Dom Samotnej Matki, schronisko dla zwierząt- wolontariat.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K. Kowalczyk</w:t>
            </w:r>
          </w:p>
        </w:tc>
      </w:tr>
      <w:tr w:rsidR="00823A26" w:rsidRPr="00823A26" w:rsidTr="006E620E">
        <w:trPr>
          <w:trHeight w:val="249"/>
        </w:trPr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18.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Pogadanka o bezpieczeństwie w drodze do i ze szkoły oraz zagrożeniach w sieci internetowej, prowadzona w szkole przez zaproszonego Policjanta lub wizyta w komisariacie policji, itp.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W ciągu roku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Policjant, wychowawcy</w:t>
            </w:r>
          </w:p>
        </w:tc>
      </w:tr>
      <w:tr w:rsidR="006E620E" w:rsidRPr="00823A26" w:rsidTr="006E620E">
        <w:trPr>
          <w:trHeight w:val="249"/>
        </w:trPr>
        <w:tc>
          <w:tcPr>
            <w:tcW w:w="592" w:type="dxa"/>
            <w:shd w:val="clear" w:color="auto" w:fill="auto"/>
          </w:tcPr>
          <w:p w:rsidR="006E620E" w:rsidRPr="00823A26" w:rsidRDefault="006E620E" w:rsidP="006E620E">
            <w:r w:rsidRPr="00823A26">
              <w:t>20.</w:t>
            </w:r>
          </w:p>
        </w:tc>
        <w:tc>
          <w:tcPr>
            <w:tcW w:w="4753" w:type="dxa"/>
            <w:shd w:val="clear" w:color="auto" w:fill="auto"/>
          </w:tcPr>
          <w:p w:rsidR="006E620E" w:rsidRPr="002F76ED" w:rsidRDefault="006E620E" w:rsidP="006E620E">
            <w:r w:rsidRPr="002F76ED">
              <w:t>Pogadanki na zajęciach informatycznych oraz zajęciach z wychowawcą na temat bezpieczeństwa w sieci we wszystkich klasach, podsumowane krótkim projektem.</w:t>
            </w:r>
          </w:p>
        </w:tc>
        <w:tc>
          <w:tcPr>
            <w:tcW w:w="1827" w:type="dxa"/>
            <w:shd w:val="clear" w:color="auto" w:fill="auto"/>
          </w:tcPr>
          <w:p w:rsidR="006E620E" w:rsidRPr="00DC7FBF" w:rsidRDefault="006E620E" w:rsidP="006E620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7FBF">
              <w:rPr>
                <w:rFonts w:eastAsia="Calibri"/>
                <w:sz w:val="24"/>
                <w:szCs w:val="24"/>
              </w:rPr>
              <w:t>Cały rok</w:t>
            </w:r>
          </w:p>
        </w:tc>
        <w:tc>
          <w:tcPr>
            <w:tcW w:w="1890" w:type="dxa"/>
            <w:shd w:val="clear" w:color="auto" w:fill="auto"/>
          </w:tcPr>
          <w:p w:rsidR="006E620E" w:rsidRPr="00DC7FBF" w:rsidRDefault="006E620E" w:rsidP="006E620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7FBF">
              <w:rPr>
                <w:rFonts w:eastAsia="Calibri"/>
                <w:sz w:val="24"/>
                <w:szCs w:val="24"/>
              </w:rPr>
              <w:t>Nauczyciele informatyki, wychowawcy</w:t>
            </w:r>
          </w:p>
        </w:tc>
      </w:tr>
      <w:tr w:rsidR="00823A26" w:rsidRPr="00823A26" w:rsidTr="006E620E">
        <w:trPr>
          <w:trHeight w:val="249"/>
        </w:trPr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21.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Gminny program Przeciwdziałania Próchnicy dla uczniów</w:t>
            </w:r>
            <w:r w:rsidR="006E620E">
              <w:t>,</w:t>
            </w:r>
            <w:r w:rsidR="006E620E" w:rsidRPr="006E620E">
              <w:t xml:space="preserve"> współpraca z gabinetem stomatologicznym w Woli Filipowskiej.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Cały rok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>Stomatolodzy, specjaliści</w:t>
            </w:r>
          </w:p>
        </w:tc>
      </w:tr>
      <w:tr w:rsidR="00823A26" w:rsidRPr="00823A26" w:rsidTr="006E620E">
        <w:trPr>
          <w:trHeight w:val="249"/>
        </w:trPr>
        <w:tc>
          <w:tcPr>
            <w:tcW w:w="592" w:type="dxa"/>
            <w:shd w:val="clear" w:color="auto" w:fill="auto"/>
          </w:tcPr>
          <w:p w:rsidR="00823A26" w:rsidRPr="00823A26" w:rsidRDefault="00823A26" w:rsidP="00823A26">
            <w:r w:rsidRPr="00823A26">
              <w:t>22.</w:t>
            </w:r>
          </w:p>
        </w:tc>
        <w:tc>
          <w:tcPr>
            <w:tcW w:w="4753" w:type="dxa"/>
            <w:shd w:val="clear" w:color="auto" w:fill="auto"/>
          </w:tcPr>
          <w:p w:rsidR="00823A26" w:rsidRPr="00823A26" w:rsidRDefault="00823A26" w:rsidP="00823A26">
            <w:r w:rsidRPr="00823A26">
              <w:t>Udział w zajęciach profilaktycznych o dopalaczach dla klas VII-VIII</w:t>
            </w:r>
          </w:p>
        </w:tc>
        <w:tc>
          <w:tcPr>
            <w:tcW w:w="1827" w:type="dxa"/>
            <w:shd w:val="clear" w:color="auto" w:fill="auto"/>
          </w:tcPr>
          <w:p w:rsidR="00823A26" w:rsidRPr="00823A26" w:rsidRDefault="00823A26" w:rsidP="00823A26">
            <w:r w:rsidRPr="00823A26">
              <w:t>W ciągu roku</w:t>
            </w:r>
          </w:p>
        </w:tc>
        <w:tc>
          <w:tcPr>
            <w:tcW w:w="1890" w:type="dxa"/>
            <w:shd w:val="clear" w:color="auto" w:fill="auto"/>
          </w:tcPr>
          <w:p w:rsidR="00823A26" w:rsidRPr="00823A26" w:rsidRDefault="00823A26" w:rsidP="00823A26">
            <w:r w:rsidRPr="00823A26">
              <w:t xml:space="preserve">K. </w:t>
            </w:r>
            <w:proofErr w:type="spellStart"/>
            <w:r w:rsidRPr="00823A26">
              <w:t>Witman</w:t>
            </w:r>
            <w:proofErr w:type="spellEnd"/>
            <w:r w:rsidRPr="00823A26">
              <w:t xml:space="preserve">, </w:t>
            </w:r>
            <w:r w:rsidRPr="00823A26">
              <w:br/>
              <w:t xml:space="preserve">K. </w:t>
            </w:r>
            <w:proofErr w:type="spellStart"/>
            <w:r w:rsidRPr="00823A26">
              <w:t>Niechwiej</w:t>
            </w:r>
            <w:proofErr w:type="spellEnd"/>
            <w:r w:rsidRPr="00823A26">
              <w:t xml:space="preserve">, </w:t>
            </w:r>
            <w:r w:rsidRPr="00823A26">
              <w:br/>
              <w:t xml:space="preserve">V. </w:t>
            </w:r>
            <w:proofErr w:type="spellStart"/>
            <w:r w:rsidRPr="00823A26">
              <w:t>Smyl</w:t>
            </w:r>
            <w:proofErr w:type="spellEnd"/>
          </w:p>
        </w:tc>
      </w:tr>
      <w:tr w:rsidR="006E620E" w:rsidRPr="00823A26" w:rsidTr="006E620E">
        <w:trPr>
          <w:trHeight w:val="249"/>
        </w:trPr>
        <w:tc>
          <w:tcPr>
            <w:tcW w:w="592" w:type="dxa"/>
            <w:shd w:val="clear" w:color="auto" w:fill="auto"/>
          </w:tcPr>
          <w:p w:rsidR="006E620E" w:rsidRPr="00823A26" w:rsidRDefault="006E620E" w:rsidP="006E620E">
            <w:r>
              <w:t>23.</w:t>
            </w:r>
          </w:p>
        </w:tc>
        <w:tc>
          <w:tcPr>
            <w:tcW w:w="4753" w:type="dxa"/>
            <w:shd w:val="clear" w:color="auto" w:fill="auto"/>
          </w:tcPr>
          <w:p w:rsidR="006E620E" w:rsidRPr="00DC7FBF" w:rsidRDefault="006E620E" w:rsidP="006E620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7FBF">
              <w:rPr>
                <w:rFonts w:eastAsia="Calibri"/>
                <w:sz w:val="24"/>
                <w:szCs w:val="24"/>
              </w:rPr>
              <w:t>Spotkanie z policjantem na temat bezpieczeństwa w sieci.</w:t>
            </w:r>
          </w:p>
        </w:tc>
        <w:tc>
          <w:tcPr>
            <w:tcW w:w="1827" w:type="dxa"/>
            <w:shd w:val="clear" w:color="auto" w:fill="auto"/>
          </w:tcPr>
          <w:p w:rsidR="006E620E" w:rsidRPr="00DC7FBF" w:rsidRDefault="006E620E" w:rsidP="006E620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7FBF">
              <w:rPr>
                <w:rFonts w:eastAsia="Calibri"/>
                <w:sz w:val="24"/>
                <w:szCs w:val="24"/>
              </w:rPr>
              <w:t>Wrzesień, październik</w:t>
            </w:r>
          </w:p>
        </w:tc>
        <w:tc>
          <w:tcPr>
            <w:tcW w:w="1890" w:type="dxa"/>
            <w:shd w:val="clear" w:color="auto" w:fill="auto"/>
          </w:tcPr>
          <w:p w:rsidR="006E620E" w:rsidRPr="00DC7FBF" w:rsidRDefault="006E620E" w:rsidP="006E620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C7FBF">
              <w:rPr>
                <w:rFonts w:eastAsia="Calibri"/>
                <w:sz w:val="24"/>
                <w:szCs w:val="24"/>
              </w:rPr>
              <w:t>Policjant, pedagog</w:t>
            </w:r>
          </w:p>
        </w:tc>
      </w:tr>
      <w:tr w:rsidR="00353D21" w:rsidRPr="00823A26" w:rsidTr="006E620E">
        <w:trPr>
          <w:trHeight w:val="249"/>
        </w:trPr>
        <w:tc>
          <w:tcPr>
            <w:tcW w:w="592" w:type="dxa"/>
            <w:shd w:val="clear" w:color="auto" w:fill="auto"/>
          </w:tcPr>
          <w:p w:rsidR="00353D21" w:rsidRDefault="00353D21" w:rsidP="00353D21">
            <w:r>
              <w:lastRenderedPageBreak/>
              <w:t>24.</w:t>
            </w:r>
          </w:p>
        </w:tc>
        <w:tc>
          <w:tcPr>
            <w:tcW w:w="4753" w:type="dxa"/>
            <w:shd w:val="clear" w:color="auto" w:fill="auto"/>
          </w:tcPr>
          <w:p w:rsidR="00353D21" w:rsidRDefault="00353D21" w:rsidP="00353D21">
            <w:r w:rsidRPr="00B02578">
              <w:rPr>
                <w:rFonts w:eastAsia="Calibri"/>
                <w:sz w:val="24"/>
                <w:szCs w:val="24"/>
              </w:rPr>
              <w:t>Kształtowanie cnót i wartości poprzez udział uczniów w spektaklach teatralnych (tematyka dostosowana do wieku uczniów).</w:t>
            </w:r>
          </w:p>
        </w:tc>
        <w:tc>
          <w:tcPr>
            <w:tcW w:w="1827" w:type="dxa"/>
            <w:shd w:val="clear" w:color="auto" w:fill="auto"/>
          </w:tcPr>
          <w:p w:rsidR="00353D21" w:rsidRDefault="00353D21" w:rsidP="00353D21">
            <w:r>
              <w:t>Cały rok szkolny według ofert</w:t>
            </w:r>
          </w:p>
        </w:tc>
        <w:tc>
          <w:tcPr>
            <w:tcW w:w="1890" w:type="dxa"/>
            <w:shd w:val="clear" w:color="auto" w:fill="auto"/>
          </w:tcPr>
          <w:p w:rsidR="00353D21" w:rsidRDefault="00353D21" w:rsidP="00353D21">
            <w:r>
              <w:t>Nauczyciele wychowawcy</w:t>
            </w:r>
          </w:p>
        </w:tc>
      </w:tr>
    </w:tbl>
    <w:p w:rsidR="00233000" w:rsidRPr="00762763" w:rsidRDefault="00233000">
      <w:pPr>
        <w:rPr>
          <w:b/>
        </w:rPr>
      </w:pPr>
    </w:p>
    <w:sectPr w:rsidR="00233000" w:rsidRPr="0076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A"/>
    <w:rsid w:val="000B108C"/>
    <w:rsid w:val="0014217A"/>
    <w:rsid w:val="00206940"/>
    <w:rsid w:val="002140B6"/>
    <w:rsid w:val="00233000"/>
    <w:rsid w:val="00353D21"/>
    <w:rsid w:val="00437D6F"/>
    <w:rsid w:val="006E620E"/>
    <w:rsid w:val="00762763"/>
    <w:rsid w:val="00823A26"/>
    <w:rsid w:val="00895553"/>
    <w:rsid w:val="008C12C5"/>
    <w:rsid w:val="009302A3"/>
    <w:rsid w:val="009B2BB7"/>
    <w:rsid w:val="009C463D"/>
    <w:rsid w:val="00D33477"/>
    <w:rsid w:val="00D53405"/>
    <w:rsid w:val="00D72515"/>
    <w:rsid w:val="00E3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814C4-AFC2-408E-B3CE-85C6AC8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dcterms:created xsi:type="dcterms:W3CDTF">2023-11-04T20:39:00Z</dcterms:created>
  <dcterms:modified xsi:type="dcterms:W3CDTF">2023-11-06T21:19:00Z</dcterms:modified>
</cp:coreProperties>
</file>